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C6D" w:rsidRPr="005972CE" w:rsidRDefault="009A7C6D" w:rsidP="009A7C6D">
      <w:pPr>
        <w:spacing w:before="100" w:beforeAutospacing="1" w:after="100" w:afterAutospacing="1" w:line="360" w:lineRule="auto"/>
        <w:ind w:firstLine="709"/>
        <w:jc w:val="center"/>
        <w:rPr>
          <w:rFonts w:eastAsia="Times New Roman" w:cs="Times New Roman"/>
          <w:b/>
          <w:sz w:val="28"/>
          <w:szCs w:val="28"/>
        </w:rPr>
      </w:pPr>
      <w:r w:rsidRPr="002C2A73">
        <w:rPr>
          <w:rFonts w:eastAsia="Times New Roman" w:cs="Times New Roman"/>
          <w:b/>
          <w:sz w:val="28"/>
          <w:szCs w:val="28"/>
        </w:rPr>
        <w:t>"Личный кабинет кадастрового инженера" проводит проверку документов для кадастрового учета</w:t>
      </w:r>
    </w:p>
    <w:p w:rsidR="009A7C6D" w:rsidRPr="005972CE" w:rsidRDefault="009A7C6D" w:rsidP="009A7C6D">
      <w:pPr>
        <w:spacing w:before="100" w:beforeAutospacing="1" w:after="100" w:afterAutospacing="1" w:line="360" w:lineRule="auto"/>
        <w:ind w:firstLine="709"/>
        <w:rPr>
          <w:rFonts w:eastAsia="Times New Roman" w:cs="Times New Roman"/>
          <w:sz w:val="24"/>
          <w:szCs w:val="24"/>
        </w:rPr>
      </w:pPr>
      <w:r w:rsidRPr="005972CE">
        <w:rPr>
          <w:rFonts w:eastAsia="Times New Roman" w:cs="Times New Roman"/>
          <w:sz w:val="24"/>
          <w:szCs w:val="24"/>
        </w:rPr>
        <w:t xml:space="preserve">Кадастровый инженер занимается определением границ и координат земельных участков, а также готовит документацию для кадастрового учета объектов недвижимости. На основании подготовленных кадастровым инженером документов сведения об объектах недвижимости вносятся в Единый государственный реестр недвижимости (ЕГРН). </w:t>
      </w:r>
    </w:p>
    <w:p w:rsidR="009A7C6D" w:rsidRPr="005972CE" w:rsidRDefault="009A7C6D" w:rsidP="009A7C6D">
      <w:pPr>
        <w:pStyle w:val="ac"/>
        <w:spacing w:line="360" w:lineRule="auto"/>
        <w:ind w:firstLine="709"/>
        <w:rPr>
          <w:rFonts w:asciiTheme="minorHAnsi" w:hAnsiTheme="minorHAnsi"/>
        </w:rPr>
      </w:pPr>
      <w:r w:rsidRPr="005972CE">
        <w:rPr>
          <w:rFonts w:asciiTheme="minorHAnsi" w:hAnsiTheme="minorHAnsi"/>
        </w:rPr>
        <w:t xml:space="preserve">Для повышения качества работы специалистов и упрощения процесса получения государственных услуг ведомства на сайте </w:t>
      </w:r>
      <w:hyperlink r:id="rId8" w:history="1">
        <w:r w:rsidRPr="00C72AE1">
          <w:rPr>
            <w:rStyle w:val="a9"/>
            <w:rFonts w:asciiTheme="minorHAnsi" w:hAnsiTheme="minorHAnsi"/>
          </w:rPr>
          <w:t>Росреестра</w:t>
        </w:r>
      </w:hyperlink>
      <w:r w:rsidRPr="005972CE">
        <w:rPr>
          <w:rFonts w:asciiTheme="minorHAnsi" w:hAnsiTheme="minorHAnsi"/>
        </w:rPr>
        <w:t xml:space="preserve"> функционирует электронный сервис «Личный кабинет кадастрового инженера». </w:t>
      </w:r>
    </w:p>
    <w:p w:rsidR="009A7C6D" w:rsidRPr="004E48CC" w:rsidRDefault="009A7C6D" w:rsidP="009A7C6D">
      <w:pPr>
        <w:pStyle w:val="ac"/>
        <w:spacing w:line="360" w:lineRule="auto"/>
        <w:ind w:firstLine="709"/>
        <w:rPr>
          <w:rFonts w:asciiTheme="minorHAnsi" w:hAnsiTheme="minorHAnsi"/>
        </w:rPr>
      </w:pPr>
      <w:r w:rsidRPr="005972CE">
        <w:rPr>
          <w:rFonts w:asciiTheme="minorHAnsi" w:hAnsiTheme="minorHAnsi"/>
        </w:rPr>
        <w:t>С его помощью можно осуществлять предварительную проверку межевых и технических планов, актов обследования в режиме онлайн, а также возможных пересечений границ земельного участка с границами других участков. Такая проверка снижает риски приостановления или отказа процедуры кадастрового учета. Подготовленные кадастровым инженером документы хранятся во временном электронном хранилище. Этим документам, которые предварительно прошли проверку, присваивается уникальный идентифицирующий номер (УИН). При его наличии заявитель может не предъявлять пакет документов, планы и карты на бумажных и электронных носителях. Кадастровый инженер в качестве результата работы сообщает заказчику УИН, необходимый для осуществления кадастрового учета. При передаче заказчику информации о номере УИН кадастровому инженеру необходимо учитывать срок хранения документов в электронном хранилище – не более трех месяцев.</w:t>
      </w:r>
    </w:p>
    <w:p w:rsidR="009A7C6D" w:rsidRPr="005972CE" w:rsidRDefault="009A7C6D" w:rsidP="009A7C6D">
      <w:pPr>
        <w:pStyle w:val="ac"/>
        <w:spacing w:line="360" w:lineRule="auto"/>
        <w:ind w:firstLine="709"/>
        <w:rPr>
          <w:rFonts w:asciiTheme="minorHAnsi" w:hAnsiTheme="minorHAnsi"/>
          <w:bCs/>
        </w:rPr>
      </w:pPr>
      <w:r w:rsidRPr="005972CE">
        <w:rPr>
          <w:rFonts w:asciiTheme="minorHAnsi" w:hAnsiTheme="minorHAnsi"/>
        </w:rPr>
        <w:t xml:space="preserve">Если при осуществлении кадастрового учета получено приостановление или отказ, есть возможность обжаловать данное решение. </w:t>
      </w:r>
      <w:r w:rsidRPr="005972CE">
        <w:rPr>
          <w:rFonts w:asciiTheme="minorHAnsi" w:hAnsiTheme="minorHAnsi"/>
          <w:bCs/>
        </w:rPr>
        <w:t xml:space="preserve">Апелляционная комиссия, созданная при </w:t>
      </w:r>
      <w:r w:rsidRPr="00C72AE1">
        <w:rPr>
          <w:rFonts w:asciiTheme="minorHAnsi" w:hAnsiTheme="minorHAnsi"/>
          <w:bCs/>
        </w:rPr>
        <w:t>Росреестре</w:t>
      </w:r>
      <w:r w:rsidRPr="005972CE">
        <w:rPr>
          <w:rFonts w:asciiTheme="minorHAnsi" w:hAnsiTheme="minorHAnsi"/>
        </w:rPr>
        <w:t xml:space="preserve">, </w:t>
      </w:r>
      <w:r w:rsidRPr="005972CE">
        <w:rPr>
          <w:rFonts w:asciiTheme="minorHAnsi" w:hAnsiTheme="minorHAnsi"/>
          <w:bCs/>
        </w:rPr>
        <w:t xml:space="preserve">предоставляет возможность обжаловать решение о приостановлении кадастрового учета и регистрации прав. </w:t>
      </w:r>
    </w:p>
    <w:p w:rsidR="009A7C6D" w:rsidRPr="005972CE" w:rsidRDefault="009A7C6D" w:rsidP="009A7C6D">
      <w:pPr>
        <w:spacing w:before="100" w:beforeAutospacing="1" w:after="100" w:afterAutospacing="1" w:line="360" w:lineRule="auto"/>
        <w:ind w:firstLine="709"/>
        <w:outlineLvl w:val="1"/>
        <w:rPr>
          <w:rFonts w:eastAsia="Times New Roman" w:cs="Times New Roman"/>
          <w:bCs/>
          <w:sz w:val="24"/>
          <w:szCs w:val="24"/>
        </w:rPr>
      </w:pPr>
      <w:r w:rsidRPr="005972CE">
        <w:rPr>
          <w:rFonts w:eastAsia="Times New Roman" w:cs="Times New Roman"/>
          <w:bCs/>
          <w:sz w:val="24"/>
          <w:szCs w:val="24"/>
        </w:rPr>
        <w:lastRenderedPageBreak/>
        <w:t xml:space="preserve">Заявление об обжаловании решения о приостановлении могут подать </w:t>
      </w:r>
      <w:r w:rsidRPr="005972CE">
        <w:rPr>
          <w:rFonts w:eastAsia="Times New Roman" w:cs="Times New Roman"/>
          <w:sz w:val="24"/>
          <w:szCs w:val="24"/>
        </w:rPr>
        <w:t xml:space="preserve">физические или юридические лица (их представители), кадастровые инженеры. </w:t>
      </w:r>
      <w:r w:rsidRPr="005972CE">
        <w:rPr>
          <w:rFonts w:eastAsia="Times New Roman" w:cs="Times New Roman"/>
          <w:bCs/>
          <w:sz w:val="24"/>
          <w:szCs w:val="24"/>
        </w:rPr>
        <w:t>В течение 30 дней с момента принятия решения о приостановлении необходимо подать заявление в комиссию об обжаловании решения любым удобным способом:</w:t>
      </w:r>
    </w:p>
    <w:p w:rsidR="009A7C6D" w:rsidRPr="005972CE" w:rsidRDefault="009A7C6D" w:rsidP="009A7C6D">
      <w:pPr>
        <w:spacing w:before="100" w:beforeAutospacing="1" w:after="100" w:afterAutospacing="1" w:line="360" w:lineRule="auto"/>
        <w:ind w:firstLine="709"/>
        <w:rPr>
          <w:rFonts w:eastAsia="Times New Roman" w:cs="Times New Roman"/>
          <w:sz w:val="24"/>
          <w:szCs w:val="24"/>
        </w:rPr>
      </w:pPr>
      <w:proofErr w:type="gramStart"/>
      <w:r w:rsidRPr="005972CE">
        <w:rPr>
          <w:rFonts w:eastAsia="Times New Roman" w:cs="Times New Roman"/>
          <w:sz w:val="24"/>
          <w:szCs w:val="24"/>
        </w:rPr>
        <w:t>– лично по адресу: г. Новосибирск, ул. Державина, 28;</w:t>
      </w:r>
      <w:proofErr w:type="gramEnd"/>
    </w:p>
    <w:p w:rsidR="009A7C6D" w:rsidRPr="005972CE" w:rsidRDefault="009A7C6D" w:rsidP="009A7C6D">
      <w:pPr>
        <w:spacing w:before="100" w:beforeAutospacing="1" w:after="100" w:afterAutospacing="1" w:line="360" w:lineRule="auto"/>
        <w:ind w:firstLine="709"/>
        <w:rPr>
          <w:rFonts w:eastAsia="Times New Roman" w:cs="Times New Roman"/>
          <w:sz w:val="24"/>
          <w:szCs w:val="24"/>
        </w:rPr>
      </w:pPr>
      <w:r w:rsidRPr="005972CE">
        <w:rPr>
          <w:rFonts w:eastAsia="Times New Roman" w:cs="Times New Roman"/>
          <w:sz w:val="24"/>
          <w:szCs w:val="24"/>
        </w:rPr>
        <w:t>– по почте: 630091, г. Новосибирск, ул. Державина, 28;</w:t>
      </w:r>
    </w:p>
    <w:p w:rsidR="009A7C6D" w:rsidRPr="005972CE" w:rsidRDefault="009A7C6D" w:rsidP="009A7C6D">
      <w:pPr>
        <w:spacing w:line="360" w:lineRule="auto"/>
        <w:ind w:firstLine="709"/>
        <w:rPr>
          <w:sz w:val="24"/>
          <w:szCs w:val="24"/>
        </w:rPr>
      </w:pPr>
      <w:r w:rsidRPr="005972CE">
        <w:rPr>
          <w:sz w:val="24"/>
          <w:szCs w:val="24"/>
        </w:rPr>
        <w:t xml:space="preserve">– по электронной почте:  </w:t>
      </w:r>
      <w:hyperlink r:id="rId9" w:history="1">
        <w:r w:rsidRPr="005972CE">
          <w:rPr>
            <w:rStyle w:val="a9"/>
            <w:sz w:val="24"/>
            <w:szCs w:val="24"/>
          </w:rPr>
          <w:t>54_upr@rosreestr.ru</w:t>
        </w:r>
      </w:hyperlink>
      <w:r w:rsidRPr="005972CE">
        <w:rPr>
          <w:sz w:val="24"/>
          <w:szCs w:val="24"/>
        </w:rPr>
        <w:t>.</w:t>
      </w:r>
    </w:p>
    <w:p w:rsidR="009A7C6D" w:rsidRPr="002C2A73" w:rsidRDefault="009A7C6D" w:rsidP="009A7C6D">
      <w:pPr>
        <w:spacing w:before="100" w:beforeAutospacing="1" w:after="100" w:afterAutospacing="1" w:line="360" w:lineRule="auto"/>
        <w:ind w:firstLine="709"/>
        <w:rPr>
          <w:rFonts w:eastAsia="Times New Roman" w:cs="Times New Roman"/>
          <w:sz w:val="24"/>
          <w:szCs w:val="24"/>
        </w:rPr>
      </w:pPr>
      <w:r w:rsidRPr="005972CE">
        <w:rPr>
          <w:rFonts w:eastAsia="Times New Roman" w:cs="Times New Roman"/>
          <w:bCs/>
          <w:sz w:val="24"/>
          <w:szCs w:val="24"/>
        </w:rPr>
        <w:t xml:space="preserve">В заявлении необходимо указать </w:t>
      </w:r>
      <w:r w:rsidRPr="005972CE">
        <w:rPr>
          <w:rFonts w:eastAsia="Times New Roman" w:cs="Times New Roman"/>
          <w:sz w:val="24"/>
          <w:szCs w:val="24"/>
        </w:rPr>
        <w:t>сведения о заявителе и кадастровом инженере; дату и номер заявления, по результатам которого было принято приостановление; дату и номер решения о приостановлении; обоснование в произвольной форме несоответствия закону решения о приостановлении.</w:t>
      </w:r>
    </w:p>
    <w:p w:rsidR="009A7C6D" w:rsidRPr="005972CE" w:rsidRDefault="009A7C6D" w:rsidP="009A7C6D">
      <w:pPr>
        <w:spacing w:before="100" w:beforeAutospacing="1" w:after="100" w:afterAutospacing="1" w:line="360" w:lineRule="auto"/>
        <w:ind w:firstLine="709"/>
        <w:rPr>
          <w:rFonts w:eastAsia="Times New Roman" w:cs="Times New Roman"/>
          <w:sz w:val="24"/>
          <w:szCs w:val="24"/>
        </w:rPr>
      </w:pPr>
      <w:r w:rsidRPr="005972CE">
        <w:rPr>
          <w:rFonts w:eastAsia="Times New Roman" w:cs="Times New Roman"/>
          <w:bCs/>
          <w:sz w:val="24"/>
          <w:szCs w:val="24"/>
        </w:rPr>
        <w:t xml:space="preserve">Справочная информация о работе апелляционной комиссии, порядок работы и шаблон заявления представлены на официальном сайте </w:t>
      </w:r>
      <w:hyperlink r:id="rId10" w:history="1">
        <w:r w:rsidRPr="005972CE">
          <w:rPr>
            <w:rStyle w:val="a9"/>
            <w:rFonts w:eastAsia="Times New Roman" w:cs="Times New Roman"/>
            <w:bCs/>
            <w:sz w:val="24"/>
            <w:szCs w:val="24"/>
          </w:rPr>
          <w:t>Росреестра</w:t>
        </w:r>
      </w:hyperlink>
      <w:r w:rsidRPr="005972CE">
        <w:rPr>
          <w:rFonts w:eastAsia="Times New Roman" w:cs="Times New Roman"/>
          <w:bCs/>
          <w:sz w:val="24"/>
          <w:szCs w:val="24"/>
        </w:rPr>
        <w:t xml:space="preserve"> по ссылке: </w:t>
      </w:r>
      <w:hyperlink r:id="rId11" w:history="1">
        <w:r w:rsidRPr="005972CE">
          <w:rPr>
            <w:rStyle w:val="a9"/>
            <w:rFonts w:eastAsia="Times New Roman" w:cs="Times New Roman"/>
            <w:bCs/>
            <w:sz w:val="24"/>
            <w:szCs w:val="24"/>
          </w:rPr>
          <w:t>https://rosreestr.ru/site/activity/apellyatsionnye-komissii</w:t>
        </w:r>
      </w:hyperlink>
      <w:r w:rsidRPr="005972CE">
        <w:rPr>
          <w:rFonts w:eastAsia="Times New Roman" w:cs="Times New Roman"/>
          <w:bCs/>
          <w:sz w:val="24"/>
          <w:szCs w:val="24"/>
        </w:rPr>
        <w:t xml:space="preserve">. </w:t>
      </w:r>
    </w:p>
    <w:p w:rsidR="00D82973" w:rsidRPr="009A7C6D" w:rsidRDefault="009A7C6D" w:rsidP="009A7C6D">
      <w:pPr>
        <w:spacing w:after="0" w:line="240" w:lineRule="auto"/>
        <w:ind w:left="142"/>
        <w:jc w:val="right"/>
        <w:rPr>
          <w:i/>
          <w:sz w:val="20"/>
          <w:szCs w:val="20"/>
        </w:rPr>
      </w:pPr>
      <w:r w:rsidRPr="009A7C6D">
        <w:rPr>
          <w:i/>
          <w:sz w:val="20"/>
          <w:szCs w:val="20"/>
        </w:rPr>
        <w:t>Материал предоставлен пресс-службой Кадастровой палаты по Новосибирской области.</w:t>
      </w:r>
    </w:p>
    <w:p w:rsidR="00A8510D" w:rsidRPr="00D82973" w:rsidRDefault="00A8510D" w:rsidP="00D82973">
      <w:pPr>
        <w:spacing w:after="0" w:line="240" w:lineRule="auto"/>
        <w:ind w:left="142"/>
        <w:jc w:val="both"/>
        <w:rPr>
          <w:sz w:val="18"/>
          <w:szCs w:val="18"/>
        </w:rPr>
      </w:pPr>
    </w:p>
    <w:sectPr w:rsidR="00A8510D" w:rsidRPr="00D82973" w:rsidSect="00B94D63">
      <w:headerReference w:type="even" r:id="rId12"/>
      <w:headerReference w:type="default" r:id="rId13"/>
      <w:footerReference w:type="default" r:id="rId14"/>
      <w:headerReference w:type="firs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59D" w:rsidRDefault="00A7059D" w:rsidP="00A7059D">
      <w:pPr>
        <w:spacing w:after="0" w:line="240" w:lineRule="auto"/>
      </w:pPr>
      <w:r>
        <w:separator/>
      </w:r>
    </w:p>
  </w:endnote>
  <w:endnote w:type="continuationSeparator" w:id="0">
    <w:p w:rsidR="00A7059D" w:rsidRDefault="00A7059D" w:rsidP="00A70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0B" w:rsidRDefault="006C740B" w:rsidP="006C740B">
    <w:pPr>
      <w:spacing w:after="0" w:line="240" w:lineRule="auto"/>
      <w:ind w:left="142" w:firstLine="284"/>
      <w:jc w:val="right"/>
      <w:rPr>
        <w:rFonts w:eastAsia="Calibri" w:cs="Segoe UI"/>
        <w:sz w:val="17"/>
        <w:szCs w:val="17"/>
        <w:lang w:eastAsia="en-US"/>
      </w:rPr>
    </w:pPr>
    <w:r>
      <w:rPr>
        <w:rFonts w:eastAsia="Calibri" w:cs="Segoe UI"/>
        <w:sz w:val="17"/>
        <w:szCs w:val="17"/>
        <w:lang w:eastAsia="en-US"/>
      </w:rPr>
      <w:t>Контакты пресс-службы</w:t>
    </w:r>
  </w:p>
  <w:p w:rsidR="006C740B" w:rsidRDefault="002866C7" w:rsidP="006C740B">
    <w:pPr>
      <w:spacing w:after="0" w:line="240" w:lineRule="auto"/>
      <w:ind w:left="142" w:firstLine="284"/>
      <w:jc w:val="right"/>
      <w:rPr>
        <w:rFonts w:cs="Times New Roman"/>
        <w:sz w:val="17"/>
        <w:szCs w:val="17"/>
      </w:rPr>
    </w:pPr>
    <w:r>
      <w:rPr>
        <w:rFonts w:cs="Times New Roman"/>
        <w:sz w:val="17"/>
        <w:szCs w:val="17"/>
      </w:rPr>
      <w:t>Кадастровой палаты</w:t>
    </w:r>
  </w:p>
  <w:p w:rsidR="006C740B" w:rsidRPr="00266DBD" w:rsidRDefault="006C740B" w:rsidP="006C740B">
    <w:pPr>
      <w:spacing w:after="0" w:line="240" w:lineRule="auto"/>
      <w:ind w:left="142" w:firstLine="284"/>
      <w:jc w:val="right"/>
      <w:rPr>
        <w:rFonts w:eastAsia="Calibri" w:cs="Segoe UI"/>
        <w:sz w:val="17"/>
        <w:szCs w:val="17"/>
        <w:lang w:eastAsia="en-US"/>
      </w:rPr>
    </w:pPr>
    <w:r w:rsidRPr="00266DBD">
      <w:rPr>
        <w:rFonts w:cs="Times New Roman"/>
        <w:sz w:val="17"/>
        <w:szCs w:val="17"/>
      </w:rPr>
      <w:t>по Новосибирской области</w:t>
    </w:r>
    <w:r w:rsidRPr="00266DBD">
      <w:rPr>
        <w:rFonts w:eastAsia="Calibri" w:cs="Segoe UI"/>
        <w:sz w:val="17"/>
        <w:szCs w:val="17"/>
        <w:lang w:eastAsia="en-US"/>
      </w:rPr>
      <w:t>:</w:t>
    </w:r>
  </w:p>
  <w:p w:rsidR="006C740B" w:rsidRPr="00266DBD" w:rsidRDefault="006C740B" w:rsidP="006C740B">
    <w:pPr>
      <w:spacing w:after="0" w:line="240" w:lineRule="auto"/>
      <w:ind w:left="142" w:firstLine="284"/>
      <w:jc w:val="right"/>
      <w:rPr>
        <w:rFonts w:eastAsia="Calibri" w:cs="Segoe UI"/>
        <w:sz w:val="17"/>
        <w:szCs w:val="17"/>
        <w:lang w:eastAsia="en-US"/>
      </w:rPr>
    </w:pPr>
    <w:r w:rsidRPr="00266DBD">
      <w:rPr>
        <w:rFonts w:eastAsia="Calibri" w:cs="Segoe UI"/>
        <w:sz w:val="17"/>
        <w:szCs w:val="17"/>
        <w:lang w:eastAsia="en-US"/>
      </w:rPr>
      <w:t>(383) 347-59-49</w:t>
    </w:r>
  </w:p>
  <w:p w:rsidR="006C740B" w:rsidRPr="006C740B" w:rsidRDefault="00055FE8" w:rsidP="006C740B">
    <w:pPr>
      <w:spacing w:after="0" w:line="240" w:lineRule="auto"/>
      <w:ind w:left="142" w:firstLine="284"/>
      <w:jc w:val="right"/>
      <w:rPr>
        <w:sz w:val="17"/>
        <w:szCs w:val="17"/>
      </w:rPr>
    </w:pPr>
    <w:hyperlink r:id="rId1" w:history="1">
      <w:r w:rsidR="001205AE" w:rsidRPr="005B5F9B">
        <w:rPr>
          <w:rStyle w:val="a9"/>
          <w:sz w:val="17"/>
          <w:szCs w:val="17"/>
          <w:lang w:val="en-US"/>
        </w:rPr>
        <w:t>press</w:t>
      </w:r>
      <w:r w:rsidR="001205AE" w:rsidRPr="005B5F9B">
        <w:rPr>
          <w:rStyle w:val="a9"/>
          <w:sz w:val="17"/>
          <w:szCs w:val="17"/>
        </w:rPr>
        <w:t>@54.</w:t>
      </w:r>
      <w:r w:rsidR="001205AE" w:rsidRPr="005B5F9B">
        <w:rPr>
          <w:rStyle w:val="a9"/>
          <w:sz w:val="17"/>
          <w:szCs w:val="17"/>
          <w:lang w:val="en-US"/>
        </w:rPr>
        <w:t>kadastr</w:t>
      </w:r>
      <w:r w:rsidR="001205AE" w:rsidRPr="005B5F9B">
        <w:rPr>
          <w:rStyle w:val="a9"/>
          <w:sz w:val="17"/>
          <w:szCs w:val="17"/>
        </w:rPr>
        <w:t>.</w:t>
      </w:r>
      <w:r w:rsidR="001205AE" w:rsidRPr="005B5F9B">
        <w:rPr>
          <w:rStyle w:val="a9"/>
          <w:sz w:val="17"/>
          <w:szCs w:val="17"/>
          <w:lang w:val="en-US"/>
        </w:rPr>
        <w:t>ru</w:t>
      </w:r>
    </w:hyperlink>
  </w:p>
  <w:p w:rsidR="00266DBD" w:rsidRDefault="00266DB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59D" w:rsidRDefault="00A7059D" w:rsidP="00A7059D">
      <w:pPr>
        <w:spacing w:after="0" w:line="240" w:lineRule="auto"/>
      </w:pPr>
      <w:r>
        <w:separator/>
      </w:r>
    </w:p>
  </w:footnote>
  <w:footnote w:type="continuationSeparator" w:id="0">
    <w:p w:rsidR="00A7059D" w:rsidRDefault="00A7059D" w:rsidP="00A70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59D" w:rsidRDefault="00055FE8">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51688" o:spid="_x0000_s2053" type="#_x0000_t75" style="position:absolute;margin-left:0;margin-top:0;width:467.65pt;height:454.85pt;z-index:-251657216;mso-position-horizontal:center;mso-position-horizontal-relative:margin;mso-position-vertical:center;mso-position-vertical-relative:margin" o:allowincell="f">
          <v:imagedata r:id="rId1" o:title="logo_11"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15E" w:rsidRDefault="00A8510D">
    <w:pPr>
      <w:pStyle w:val="a3"/>
    </w:pPr>
    <w:r>
      <w:rPr>
        <w:noProof/>
        <w:lang w:eastAsia="ru-RU"/>
      </w:rPr>
      <w:drawing>
        <wp:inline distT="0" distB="0" distL="0" distR="0">
          <wp:extent cx="1940155" cy="790575"/>
          <wp:effectExtent l="19050" t="0" r="2945" b="0"/>
          <wp:docPr id="1" name="Рисунок 2" descr="\\Serv9\_ОБМЕН_\_Отдел контроля и Анализа\!СМИ\ИЗОБРАЖЕНИЯ\Logo FK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v9\_ОБМЕН_\_Отдел контроля и Анализа\!СМИ\ИЗОБРАЖЕНИЯ\Logo FKP.jpg"/>
                  <pic:cNvPicPr>
                    <a:picLocks noChangeAspect="1" noChangeArrowheads="1"/>
                  </pic:cNvPicPr>
                </pic:nvPicPr>
                <pic:blipFill>
                  <a:blip r:embed="rId1"/>
                  <a:srcRect/>
                  <a:stretch>
                    <a:fillRect/>
                  </a:stretch>
                </pic:blipFill>
                <pic:spPr bwMode="auto">
                  <a:xfrm>
                    <a:off x="0" y="0"/>
                    <a:ext cx="1940155" cy="790575"/>
                  </a:xfrm>
                  <a:prstGeom prst="rect">
                    <a:avLst/>
                  </a:prstGeom>
                  <a:noFill/>
                  <a:ln w="9525">
                    <a:noFill/>
                    <a:miter lim="800000"/>
                    <a:headEnd/>
                    <a:tailEnd/>
                  </a:ln>
                </pic:spPr>
              </pic:pic>
            </a:graphicData>
          </a:graphic>
        </wp:inline>
      </w:drawing>
    </w:r>
  </w:p>
  <w:p w:rsidR="00A7059D" w:rsidRDefault="00A7059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59D" w:rsidRDefault="00055FE8">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51687" o:spid="_x0000_s2052" type="#_x0000_t75" style="position:absolute;margin-left:0;margin-top:0;width:467.65pt;height:454.85pt;z-index:-251658240;mso-position-horizontal:center;mso-position-horizontal-relative:margin;mso-position-vertical:center;mso-position-vertical-relative:margin" o:allowincell="f">
          <v:imagedata r:id="rId1" o:title="logo_11"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75pt;height:.75pt;visibility:visible;mso-wrap-style:square" o:bullet="t">
        <v:imagedata r:id="rId1" o:title="👍"/>
      </v:shape>
    </w:pict>
  </w:numPicBullet>
  <w:abstractNum w:abstractNumId="0">
    <w:nsid w:val="59537B36"/>
    <w:multiLevelType w:val="hybridMultilevel"/>
    <w:tmpl w:val="80C0AEC4"/>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C907D3"/>
    <w:multiLevelType w:val="hybridMultilevel"/>
    <w:tmpl w:val="9A5C3848"/>
    <w:lvl w:ilvl="0" w:tplc="2B68C0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C9122F1"/>
    <w:multiLevelType w:val="hybridMultilevel"/>
    <w:tmpl w:val="810AF6E0"/>
    <w:lvl w:ilvl="0" w:tplc="74E2A31C">
      <w:start w:val="1"/>
      <w:numFmt w:val="bullet"/>
      <w:lvlText w:val=""/>
      <w:lvlPicBulletId w:val="0"/>
      <w:lvlJc w:val="left"/>
      <w:pPr>
        <w:tabs>
          <w:tab w:val="num" w:pos="928"/>
        </w:tabs>
        <w:ind w:left="928" w:hanging="360"/>
      </w:pPr>
      <w:rPr>
        <w:rFonts w:ascii="Symbol" w:hAnsi="Symbol" w:hint="default"/>
      </w:rPr>
    </w:lvl>
    <w:lvl w:ilvl="1" w:tplc="D458AF0A" w:tentative="1">
      <w:start w:val="1"/>
      <w:numFmt w:val="bullet"/>
      <w:lvlText w:val=""/>
      <w:lvlJc w:val="left"/>
      <w:pPr>
        <w:tabs>
          <w:tab w:val="num" w:pos="1648"/>
        </w:tabs>
        <w:ind w:left="1648" w:hanging="360"/>
      </w:pPr>
      <w:rPr>
        <w:rFonts w:ascii="Symbol" w:hAnsi="Symbol" w:hint="default"/>
      </w:rPr>
    </w:lvl>
    <w:lvl w:ilvl="2" w:tplc="9574302C" w:tentative="1">
      <w:start w:val="1"/>
      <w:numFmt w:val="bullet"/>
      <w:lvlText w:val=""/>
      <w:lvlJc w:val="left"/>
      <w:pPr>
        <w:tabs>
          <w:tab w:val="num" w:pos="2368"/>
        </w:tabs>
        <w:ind w:left="2368" w:hanging="360"/>
      </w:pPr>
      <w:rPr>
        <w:rFonts w:ascii="Symbol" w:hAnsi="Symbol" w:hint="default"/>
      </w:rPr>
    </w:lvl>
    <w:lvl w:ilvl="3" w:tplc="8DBE5AC0" w:tentative="1">
      <w:start w:val="1"/>
      <w:numFmt w:val="bullet"/>
      <w:lvlText w:val=""/>
      <w:lvlJc w:val="left"/>
      <w:pPr>
        <w:tabs>
          <w:tab w:val="num" w:pos="3088"/>
        </w:tabs>
        <w:ind w:left="3088" w:hanging="360"/>
      </w:pPr>
      <w:rPr>
        <w:rFonts w:ascii="Symbol" w:hAnsi="Symbol" w:hint="default"/>
      </w:rPr>
    </w:lvl>
    <w:lvl w:ilvl="4" w:tplc="F3BC1B82" w:tentative="1">
      <w:start w:val="1"/>
      <w:numFmt w:val="bullet"/>
      <w:lvlText w:val=""/>
      <w:lvlJc w:val="left"/>
      <w:pPr>
        <w:tabs>
          <w:tab w:val="num" w:pos="3808"/>
        </w:tabs>
        <w:ind w:left="3808" w:hanging="360"/>
      </w:pPr>
      <w:rPr>
        <w:rFonts w:ascii="Symbol" w:hAnsi="Symbol" w:hint="default"/>
      </w:rPr>
    </w:lvl>
    <w:lvl w:ilvl="5" w:tplc="C4D0F090" w:tentative="1">
      <w:start w:val="1"/>
      <w:numFmt w:val="bullet"/>
      <w:lvlText w:val=""/>
      <w:lvlJc w:val="left"/>
      <w:pPr>
        <w:tabs>
          <w:tab w:val="num" w:pos="4528"/>
        </w:tabs>
        <w:ind w:left="4528" w:hanging="360"/>
      </w:pPr>
      <w:rPr>
        <w:rFonts w:ascii="Symbol" w:hAnsi="Symbol" w:hint="default"/>
      </w:rPr>
    </w:lvl>
    <w:lvl w:ilvl="6" w:tplc="4698BD4C" w:tentative="1">
      <w:start w:val="1"/>
      <w:numFmt w:val="bullet"/>
      <w:lvlText w:val=""/>
      <w:lvlJc w:val="left"/>
      <w:pPr>
        <w:tabs>
          <w:tab w:val="num" w:pos="5248"/>
        </w:tabs>
        <w:ind w:left="5248" w:hanging="360"/>
      </w:pPr>
      <w:rPr>
        <w:rFonts w:ascii="Symbol" w:hAnsi="Symbol" w:hint="default"/>
      </w:rPr>
    </w:lvl>
    <w:lvl w:ilvl="7" w:tplc="830CE9C0" w:tentative="1">
      <w:start w:val="1"/>
      <w:numFmt w:val="bullet"/>
      <w:lvlText w:val=""/>
      <w:lvlJc w:val="left"/>
      <w:pPr>
        <w:tabs>
          <w:tab w:val="num" w:pos="5968"/>
        </w:tabs>
        <w:ind w:left="5968" w:hanging="360"/>
      </w:pPr>
      <w:rPr>
        <w:rFonts w:ascii="Symbol" w:hAnsi="Symbol" w:hint="default"/>
      </w:rPr>
    </w:lvl>
    <w:lvl w:ilvl="8" w:tplc="1C622730" w:tentative="1">
      <w:start w:val="1"/>
      <w:numFmt w:val="bullet"/>
      <w:lvlText w:val=""/>
      <w:lvlJc w:val="left"/>
      <w:pPr>
        <w:tabs>
          <w:tab w:val="num" w:pos="6688"/>
        </w:tabs>
        <w:ind w:left="6688" w:hanging="360"/>
      </w:pPr>
      <w:rPr>
        <w:rFonts w:ascii="Symbol" w:hAnsi="Symbol"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rsids>
    <w:rsidRoot w:val="00A7059D"/>
    <w:rsid w:val="00055FE8"/>
    <w:rsid w:val="001205AE"/>
    <w:rsid w:val="00170B0D"/>
    <w:rsid w:val="0018070E"/>
    <w:rsid w:val="00266DBD"/>
    <w:rsid w:val="002866C7"/>
    <w:rsid w:val="002D2570"/>
    <w:rsid w:val="00353854"/>
    <w:rsid w:val="003E6480"/>
    <w:rsid w:val="00405FF5"/>
    <w:rsid w:val="004126C1"/>
    <w:rsid w:val="004D7657"/>
    <w:rsid w:val="00543941"/>
    <w:rsid w:val="00551784"/>
    <w:rsid w:val="005A415E"/>
    <w:rsid w:val="0065402A"/>
    <w:rsid w:val="006C740B"/>
    <w:rsid w:val="007B12EB"/>
    <w:rsid w:val="00806C7D"/>
    <w:rsid w:val="00831045"/>
    <w:rsid w:val="00831792"/>
    <w:rsid w:val="00864160"/>
    <w:rsid w:val="009A7C6D"/>
    <w:rsid w:val="00A26900"/>
    <w:rsid w:val="00A7059D"/>
    <w:rsid w:val="00A8510D"/>
    <w:rsid w:val="00AF5AB7"/>
    <w:rsid w:val="00B94D63"/>
    <w:rsid w:val="00CB2D01"/>
    <w:rsid w:val="00D82973"/>
    <w:rsid w:val="00E05B96"/>
    <w:rsid w:val="00EC76E5"/>
    <w:rsid w:val="00F07814"/>
    <w:rsid w:val="00F5080C"/>
    <w:rsid w:val="00F72F4B"/>
    <w:rsid w:val="00FA78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6E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059D"/>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A7059D"/>
  </w:style>
  <w:style w:type="paragraph" w:styleId="a5">
    <w:name w:val="footer"/>
    <w:basedOn w:val="a"/>
    <w:link w:val="a6"/>
    <w:uiPriority w:val="99"/>
    <w:unhideWhenUsed/>
    <w:rsid w:val="00A7059D"/>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A7059D"/>
  </w:style>
  <w:style w:type="paragraph" w:styleId="a7">
    <w:name w:val="Balloon Text"/>
    <w:basedOn w:val="a"/>
    <w:link w:val="a8"/>
    <w:uiPriority w:val="99"/>
    <w:semiHidden/>
    <w:unhideWhenUsed/>
    <w:rsid w:val="00A705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059D"/>
    <w:rPr>
      <w:rFonts w:ascii="Tahoma" w:hAnsi="Tahoma" w:cs="Tahoma"/>
      <w:sz w:val="16"/>
      <w:szCs w:val="16"/>
    </w:rPr>
  </w:style>
  <w:style w:type="character" w:styleId="a9">
    <w:name w:val="Hyperlink"/>
    <w:basedOn w:val="a0"/>
    <w:uiPriority w:val="99"/>
    <w:unhideWhenUsed/>
    <w:rsid w:val="00EC76E5"/>
    <w:rPr>
      <w:color w:val="0000FF" w:themeColor="hyperlink"/>
      <w:u w:val="single"/>
    </w:rPr>
  </w:style>
  <w:style w:type="paragraph" w:styleId="aa">
    <w:name w:val="List Paragraph"/>
    <w:basedOn w:val="a"/>
    <w:link w:val="ab"/>
    <w:uiPriority w:val="99"/>
    <w:qFormat/>
    <w:rsid w:val="00F5080C"/>
    <w:pPr>
      <w:ind w:left="720"/>
      <w:contextualSpacing/>
    </w:pPr>
    <w:rPr>
      <w:rFonts w:eastAsiaTheme="minorHAnsi"/>
      <w:lang w:eastAsia="en-US"/>
    </w:rPr>
  </w:style>
  <w:style w:type="paragraph" w:customStyle="1" w:styleId="ConsPlusNormal">
    <w:name w:val="ConsPlusNormal"/>
    <w:rsid w:val="00F5080C"/>
    <w:pPr>
      <w:autoSpaceDE w:val="0"/>
      <w:autoSpaceDN w:val="0"/>
      <w:adjustRightInd w:val="0"/>
      <w:spacing w:after="0" w:line="240" w:lineRule="auto"/>
    </w:pPr>
    <w:rPr>
      <w:rFonts w:ascii="Calibri" w:hAnsi="Calibri" w:cs="Calibri"/>
      <w:sz w:val="24"/>
      <w:szCs w:val="24"/>
    </w:rPr>
  </w:style>
  <w:style w:type="paragraph" w:styleId="ac">
    <w:name w:val="Normal (Web)"/>
    <w:basedOn w:val="a"/>
    <w:uiPriority w:val="99"/>
    <w:unhideWhenUsed/>
    <w:rsid w:val="00F508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Абзац списка Знак"/>
    <w:basedOn w:val="a0"/>
    <w:link w:val="aa"/>
    <w:uiPriority w:val="99"/>
    <w:locked/>
    <w:rsid w:val="00F5080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osreestr.ru/sit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site/activity/apellyatsionnye-komissii"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rosreestr.ru/site/" TargetMode="External"/><Relationship Id="rId4" Type="http://schemas.openxmlformats.org/officeDocument/2006/relationships/settings" Target="settings.xml"/><Relationship Id="rId9" Type="http://schemas.openxmlformats.org/officeDocument/2006/relationships/hyperlink" Target="mailto:54_upr@rosreestr.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press@54.kadastr.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A27830-66D7-4571-8C21-08DAA6F6B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445</Words>
  <Characters>2543</Characters>
  <Application>Microsoft Office Word</Application>
  <DocSecurity>0</DocSecurity>
  <Lines>21</Lines>
  <Paragraphs>5</Paragraphs>
  <ScaleCrop>false</ScaleCrop>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Korotich_SA</dc:creator>
  <cp:keywords/>
  <dc:description/>
  <cp:lastModifiedBy>Sidorova_LV</cp:lastModifiedBy>
  <cp:revision>36</cp:revision>
  <dcterms:created xsi:type="dcterms:W3CDTF">2016-04-07T02:40:00Z</dcterms:created>
  <dcterms:modified xsi:type="dcterms:W3CDTF">2018-09-10T04:43:00Z</dcterms:modified>
</cp:coreProperties>
</file>